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17.xml" ContentType="application/vnd.openxmlformats-officedocument.wordprocessingml.footer+xml"/>
  <Override PartName="/word/footer8.xml" ContentType="application/vnd.openxmlformats-officedocument.wordprocessingml.footer+xml"/>
  <Override PartName="/word/footer16.xml" ContentType="application/vnd.openxmlformats-officedocument.wordprocessingml.footer+xml"/>
  <Override PartName="/word/footer7.xml" ContentType="application/vnd.openxmlformats-officedocument.wordprocessingml.footer+xml"/>
  <Override PartName="/word/footer15.xml" ContentType="application/vnd.openxmlformats-officedocument.wordprocessingml.footer+xml"/>
  <Override PartName="/word/footer6.xml" ContentType="application/vnd.openxmlformats-officedocument.wordprocessingml.footer+xml"/>
  <Override PartName="/word/footer14.xml" ContentType="application/vnd.openxmlformats-officedocument.wordprocessingml.footer+xml"/>
  <Override PartName="/word/footer5.xml" ContentType="application/vnd.openxmlformats-officedocument.wordprocessingml.footer+xml"/>
  <Override PartName="/word/document.xml" ContentType="application/vnd.openxmlformats-officedocument.wordprocessingml.document.main+xml"/>
  <Override PartName="/word/media/image1.jpeg" ContentType="image/jpeg"/>
  <Override PartName="/word/media/image2.emf" ContentType="image/x-emf"/>
  <Override PartName="/word/footer19.xml" ContentType="application/vnd.openxmlformats-officedocument.wordprocessingml.footer+xml"/>
  <Override PartName="/word/footer21.xml" ContentType="application/vnd.openxmlformats-officedocument.wordprocessingml.footer+xml"/>
  <Override PartName="/word/footer20.xml" ContentType="application/vnd.openxmlformats-officedocument.wordprocessingml.foot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embeddings/oleObject1.xlsx" ContentType="application/vnd.openxmlformats-officedocument.spreadsheetml.sheet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11.xml" ContentType="application/vnd.openxmlformats-officedocument.wordprocessingml.footer+xml"/>
  <Override PartName="/word/footer1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12.xml" ContentType="application/vnd.openxmlformats-officedocument.wordprocessingml.footer+xml"/>
  <Override PartName="/word/footer4.xml" ContentType="application/vnd.openxmlformats-officedocument.wordprocessingml.footer+xml"/>
  <Override PartName="/word/footer1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сметной документации на работы по программе ремонтов, реконструкции и техническому перевооружению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2025.1.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color w:val="FF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</w:t>
        <w:br/>
        <w:t>1-12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Энергоремонт». Поправочный индекс к Базовым ценам учитывать в размере, не превышающем предельный индекс, установленный для Филиала (ПО) ПАО «РусГидро».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Arial"/>
          <w:sz w:val="22"/>
          <w:szCs w:val="22"/>
        </w:rPr>
      </w:pPr>
      <w:r>
        <w:rPr>
          <w:rFonts w:cs="Arial" w:ascii="Times New Roman" w:hAnsi="Times New Roman"/>
          <w:sz w:val="22"/>
          <w:szCs w:val="22"/>
        </w:rPr>
        <w:t>При составлении сметной документации необходимо использовать актуальную сметно-нормативную базу ФСНБ-2022.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Определение</w:t>
      </w:r>
      <w:r>
        <w:rPr>
          <w:rFonts w:ascii="Times New Roman" w:hAnsi="Times New Roman"/>
          <w:color w:val="FF0000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сметной стоимости работ при ремонте, реконструкции и техническом перевооружении произвести </w:t>
      </w:r>
      <w:r>
        <w:rPr>
          <w:rFonts w:ascii="Times New Roman" w:hAnsi="Times New Roman"/>
          <w:b/>
          <w:sz w:val="22"/>
          <w:szCs w:val="22"/>
        </w:rPr>
        <w:t>р</w:t>
      </w:r>
      <w:bookmarkStart w:id="0" w:name="_Hlk80987880"/>
      <w:r>
        <w:rPr>
          <w:rFonts w:ascii="Times New Roman" w:hAnsi="Times New Roman"/>
          <w:b/>
          <w:sz w:val="22"/>
          <w:szCs w:val="22"/>
        </w:rPr>
        <w:t>есурсно-индексным методом</w:t>
      </w:r>
      <w:r>
        <w:rPr>
          <w:rFonts w:ascii="Times New Roman" w:hAnsi="Times New Roman"/>
          <w:sz w:val="22"/>
          <w:szCs w:val="22"/>
        </w:rPr>
        <w:t xml:space="preserve">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bookmarkEnd w:id="0"/>
      <w:r>
        <w:rPr>
          <w:rFonts w:ascii="Times New Roman" w:hAnsi="Times New Roman"/>
          <w:sz w:val="22"/>
          <w:szCs w:val="22"/>
        </w:rPr>
        <w:t xml:space="preserve">. 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определении сметной стоимости </w:t>
      </w:r>
      <w:r>
        <w:rPr>
          <w:rFonts w:ascii="Times New Roman" w:hAnsi="Times New Roman"/>
          <w:b/>
          <w:sz w:val="22"/>
          <w:szCs w:val="22"/>
        </w:rPr>
        <w:t>ресурсно-индексным методом</w:t>
      </w:r>
      <w:r>
        <w:rPr>
          <w:rFonts w:ascii="Times New Roman" w:hAnsi="Times New Roman"/>
          <w:sz w:val="22"/>
          <w:szCs w:val="22"/>
        </w:rPr>
        <w:t xml:space="preserve">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/>
      </w:pPr>
      <w:r>
        <w:rPr>
          <w:rFonts w:ascii="Times New Roman" w:hAnsi="Times New Roman"/>
        </w:rPr>
        <w:t>Д</w:t>
      </w:r>
      <w:r>
        <w:rPr>
          <w:rFonts w:ascii="Times New Roman" w:hAnsi="Times New Roman"/>
          <w:sz w:val="22"/>
          <w:szCs w:val="22"/>
        </w:rPr>
        <w:t>ля ресурсно-индексного метода: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40" w:after="40"/>
        <w:ind w:left="0" w:hanging="0"/>
        <w:contextualSpacing w:val="false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 xml:space="preserve">- индексы к отдельным строительным ресурсам, индексы к группам строительных ресурсов </w:t>
      </w:r>
      <w:r>
        <w:rPr>
          <w:rFonts w:cs="Arial" w:ascii="Times New Roman" w:hAnsi="Times New Roman"/>
          <w:b/>
        </w:rPr>
        <w:t>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>
        <w:rPr>
          <w:rFonts w:cs="Arial" w:ascii="Times New Roman" w:hAnsi="Times New Roman"/>
        </w:rPr>
        <w:t>;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40" w:after="40"/>
        <w:ind w:left="0" w:hanging="0"/>
        <w:contextualSpacing w:val="false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 xml:space="preserve">- индексы изменения сметных цен на </w:t>
      </w:r>
      <w:r>
        <w:rPr>
          <w:rFonts w:cs="Arial" w:ascii="Times New Roman" w:hAnsi="Times New Roman"/>
          <w:b/>
        </w:rPr>
        <w:t>перевозку грузов</w:t>
      </w:r>
      <w:r>
        <w:rPr>
          <w:rFonts w:cs="Arial" w:ascii="Times New Roman" w:hAnsi="Times New Roman"/>
        </w:rPr>
        <w:t xml:space="preserve">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40" w:after="40"/>
        <w:ind w:left="0" w:hanging="0"/>
        <w:contextualSpacing w:val="false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 xml:space="preserve">- индексы изменения сметной </w:t>
      </w:r>
      <w:r>
        <w:rPr>
          <w:rFonts w:cs="Arial" w:ascii="Times New Roman" w:hAnsi="Times New Roman"/>
          <w:b/>
        </w:rPr>
        <w:t>стоимости</w:t>
      </w:r>
      <w:r>
        <w:rPr>
          <w:rFonts w:cs="Arial" w:ascii="Times New Roman" w:hAnsi="Times New Roman"/>
        </w:rPr>
        <w:t xml:space="preserve"> </w:t>
      </w:r>
      <w:r>
        <w:rPr>
          <w:rFonts w:cs="Arial" w:ascii="Times New Roman" w:hAnsi="Times New Roman"/>
          <w:b/>
        </w:rPr>
        <w:t>оборудования</w:t>
      </w:r>
      <w:r>
        <w:rPr>
          <w:rFonts w:cs="Arial" w:ascii="Times New Roman" w:hAnsi="Times New Roman"/>
        </w:rPr>
        <w:t xml:space="preserve"> – применяются к сметной стоимости оборудования;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40" w:after="40"/>
        <w:ind w:left="0" w:hanging="0"/>
        <w:contextualSpacing w:val="false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 xml:space="preserve">- индексы изменения сметной стоимости, рассчитываемые для применения к сметной стоимости отдельных видов </w:t>
      </w:r>
      <w:r>
        <w:rPr>
          <w:rFonts w:cs="Arial" w:ascii="Times New Roman" w:hAnsi="Times New Roman"/>
          <w:b/>
        </w:rPr>
        <w:t>прочих работ и затрат</w:t>
      </w:r>
      <w:r>
        <w:rPr>
          <w:rFonts w:cs="Arial" w:ascii="Times New Roman" w:hAnsi="Times New Roman"/>
        </w:rPr>
        <w:t>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В </w:t>
      </w:r>
      <w:r>
        <w:rPr>
          <w:rFonts w:ascii="Times New Roman" w:hAnsi="Times New Roman"/>
          <w:sz w:val="22"/>
        </w:rPr>
        <w:t>сметных</w:t>
      </w:r>
      <w:r>
        <w:rPr>
          <w:rFonts w:cs="Times New Roman" w:ascii="Times New Roman" w:hAnsi="Times New Roman"/>
          <w:color w:val="000000"/>
          <w:sz w:val="24"/>
          <w:szCs w:val="22"/>
        </w:rPr>
        <w:t xml:space="preserve"> </w:t>
      </w:r>
      <w:r>
        <w:rPr>
          <w:rFonts w:cs="Times New Roman" w:ascii="Times New Roman" w:hAnsi="Times New Roman"/>
          <w:color w:val="000000"/>
          <w:sz w:val="22"/>
          <w:szCs w:val="22"/>
        </w:rPr>
        <w:t>расчетах на этап работ допускается использовать прогнозные среднегодовые индексы-дефляторы по данным Единых сценарных условий, утвержденных приказом от 31.01.2022 № 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На </w:t>
      </w:r>
      <w:r>
        <w:rPr>
          <w:rFonts w:ascii="Times New Roman" w:hAnsi="Times New Roman"/>
          <w:sz w:val="22"/>
        </w:rPr>
        <w:t>основании</w:t>
      </w:r>
      <w:r>
        <w:rPr>
          <w:rFonts w:cs="Times New Roman" w:ascii="Times New Roman" w:hAnsi="Times New Roman"/>
          <w:color w:val="000000"/>
          <w:sz w:val="24"/>
          <w:szCs w:val="22"/>
        </w:rPr>
        <w:t xml:space="preserve"> </w:t>
      </w:r>
      <w:r>
        <w:rPr>
          <w:rFonts w:cs="Times New Roman" w:ascii="Times New Roman" w:hAnsi="Times New Roman"/>
          <w:color w:val="000000"/>
          <w:sz w:val="22"/>
          <w:szCs w:val="22"/>
        </w:rPr>
        <w:t>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и 2023 год.</w:t>
      </w:r>
    </w:p>
    <w:p>
      <w:pPr>
        <w:pStyle w:val="ConsPlusNormal1"/>
        <w:widowControl/>
        <w:numPr>
          <w:ilvl w:val="0"/>
          <w:numId w:val="10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color w:val="FF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случае, если </w:t>
      </w:r>
      <w:r>
        <w:rPr>
          <w:rFonts w:cs="Times New Roman" w:ascii="Times New Roman" w:hAnsi="Times New Roman"/>
          <w:color w:val="000000"/>
          <w:sz w:val="22"/>
          <w:szCs w:val="22"/>
        </w:rPr>
        <w:t>стоимость рассчитана в текущем уровне цен с применением индексов изменения сметной стоимости, соответствующих году начала строительства</w:t>
      </w:r>
      <w:r>
        <w:rPr>
          <w:rFonts w:ascii="Times New Roman" w:hAnsi="Times New Roman"/>
          <w:color w:val="000000"/>
          <w:sz w:val="22"/>
          <w:szCs w:val="22"/>
        </w:rPr>
        <w:t>, а планируемый период выполнения работ составляет до одного календарного года, то индекс-дефлятор не применяется.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284" w:leader="none"/>
          <w:tab w:val="left" w:pos="1134" w:leader="none"/>
        </w:tabs>
        <w:spacing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отсутствии информации о сметных ценах в ФГИС ЦС по материальным ресурсам и оборудованию, их сметная цена формируется Методом анализа ТКП в соответствии с Методикой формирования плановой цены на закупаемую продукцию для организаций Группы РусГидро (далее – Методика ПЦ). </w:t>
      </w:r>
      <w:r>
        <w:rPr>
          <w:rFonts w:ascii="Times New Roman" w:hAnsi="Times New Roman"/>
          <w:shd w:fill="auto" w:val="clear"/>
        </w:rPr>
        <w:t>Приложение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ConsPlusNormal1"/>
        <w:numPr>
          <w:ilvl w:val="0"/>
          <w:numId w:val="10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ЦС, определяется с учетом транспортных и заготовительно-складских затрат.</w:t>
      </w:r>
      <w:r>
        <w:rPr>
          <w:rFonts w:cs="Times New Roman" w:ascii="Times New Roman" w:hAnsi="Times New Roman"/>
          <w:color w:val="FF0000"/>
          <w:sz w:val="22"/>
          <w:szCs w:val="22"/>
        </w:rPr>
        <w:t xml:space="preserve"> 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Транспортные затраты определяются следующими методами:</w:t>
      </w:r>
    </w:p>
    <w:p>
      <w:pPr>
        <w:pStyle w:val="ListParagraph"/>
        <w:numPr>
          <w:ilvl w:val="1"/>
          <w:numId w:val="10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>
      <w:pPr>
        <w:pStyle w:val="ConsPlusNormal1"/>
        <w:numPr>
          <w:ilvl w:val="0"/>
          <w:numId w:val="15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ЦС;</w:t>
      </w:r>
    </w:p>
    <w:p>
      <w:pPr>
        <w:pStyle w:val="ConsPlusNormal1"/>
        <w:widowControl/>
        <w:numPr>
          <w:ilvl w:val="0"/>
          <w:numId w:val="15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widowControl/>
        <w:numPr>
          <w:ilvl w:val="0"/>
          <w:numId w:val="15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ListParagraph"/>
        <w:numPr>
          <w:ilvl w:val="1"/>
          <w:numId w:val="10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>
      <w:pPr>
        <w:pStyle w:val="ConsPlusNormal1"/>
        <w:widowControl/>
        <w:numPr>
          <w:ilvl w:val="0"/>
          <w:numId w:val="20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ЦС;</w:t>
      </w:r>
    </w:p>
    <w:p>
      <w:pPr>
        <w:pStyle w:val="ConsPlusNormal1"/>
        <w:widowControl/>
        <w:numPr>
          <w:ilvl w:val="0"/>
          <w:numId w:val="21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numPr>
          <w:ilvl w:val="0"/>
          <w:numId w:val="15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1" w:name="_Hlk86255346"/>
      <w:r>
        <w:rPr>
          <w:rFonts w:cs="Times New Roman" w:ascii="Times New Roman" w:hAnsi="Times New Roman"/>
          <w:sz w:val="22"/>
          <w:szCs w:val="22"/>
        </w:rPr>
        <w:t xml:space="preserve"> </w:t>
      </w:r>
      <w:bookmarkEnd w:id="1"/>
      <w:r>
        <w:rPr>
          <w:rFonts w:cs="Times New Roman" w:ascii="Times New Roman" w:hAnsi="Times New Roman"/>
          <w:sz w:val="22"/>
          <w:szCs w:val="22"/>
        </w:rPr>
        <w:t>указанными выше способами), по решению заказчика.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851" w:leader="none"/>
        </w:tabs>
        <w:spacing w:lineRule="auto" w:line="240" w:before="40" w:after="40"/>
        <w:ind w:left="0" w:firstLine="567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12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12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0,75%- для металлоконструкций;</w:t>
      </w:r>
    </w:p>
    <w:p>
      <w:pPr>
        <w:pStyle w:val="ConsPlusNormal1"/>
        <w:numPr>
          <w:ilvl w:val="0"/>
          <w:numId w:val="12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с Методикой ПЦ и включаются в Главу 9 ССРСС</w:t>
      </w:r>
      <w:r>
        <w:rPr>
          <w:rFonts w:ascii="Times New Roman" w:hAnsi="Times New Roman"/>
          <w:b/>
          <w:color w:val="FF0000"/>
        </w:rPr>
        <w:t>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10"/>
        </w:numPr>
        <w:tabs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</w:p>
    <w:p>
      <w:pPr>
        <w:pStyle w:val="Normal"/>
        <w:tabs>
          <w:tab w:val="left" w:pos="284" w:leader="none"/>
          <w:tab w:val="left" w:pos="709" w:leader="none"/>
          <w:tab w:val="left" w:pos="851" w:leader="none"/>
        </w:tabs>
        <w:spacing w:lineRule="auto" w:line="240" w:before="40" w:after="4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ListParagraph"/>
        <w:numPr>
          <w:ilvl w:val="0"/>
          <w:numId w:val="10"/>
        </w:numPr>
        <w:tabs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ab/>
        <w:t>Резерв</w:t>
      </w:r>
      <w:r>
        <w:rPr>
          <w:rFonts w:ascii="Times New Roman" w:hAnsi="Times New Roman"/>
        </w:rPr>
        <w:t xml:space="preserve">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10"/>
        </w:numPr>
        <w:tabs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Сметная</w:t>
      </w:r>
      <w:r>
        <w:rPr>
          <w:rFonts w:ascii="Times New Roman" w:hAnsi="Times New Roman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7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7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2"/>
          <w:szCs w:val="22"/>
          <w:shd w:fill="auto" w:val="clear"/>
        </w:rPr>
        <w:t>с Приложением № 1.5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Стоимость</w:t>
      </w:r>
      <w:r>
        <w:rPr>
          <w:rFonts w:ascii="Times New Roman" w:hAnsi="Times New Roman"/>
        </w:rPr>
        <w:t xml:space="preserve">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</w:rPr>
        <w:t>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перевооружению).</w:t>
      </w:r>
      <w:r>
        <w:rPr>
          <w:rFonts w:ascii="Times New Roman" w:hAnsi="Times New Roman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30.1 При производстве СМР и ПНР лимиты командировочных расходов при командировании на территории, не относящиеся к районам Крайнего Севера и приравненных к ним местностям, принимать в размере не более:</w:t>
      </w:r>
    </w:p>
    <w:p>
      <w:pPr>
        <w:pStyle w:val="ConsPlusNormal1"/>
        <w:numPr>
          <w:ilvl w:val="0"/>
          <w:numId w:val="7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– 700 руб./сутки;</w:t>
      </w:r>
    </w:p>
    <w:p>
      <w:pPr>
        <w:pStyle w:val="ConsPlusNormal1"/>
        <w:numPr>
          <w:ilvl w:val="0"/>
          <w:numId w:val="7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500 руб./сутки;</w:t>
      </w:r>
    </w:p>
    <w:p>
      <w:pPr>
        <w:pStyle w:val="ConsPlusNormal1"/>
        <w:numPr>
          <w:ilvl w:val="0"/>
          <w:numId w:val="7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/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</w:p>
    <w:p>
      <w:pPr>
        <w:pStyle w:val="ConsPlusNormal1"/>
        <w:numPr>
          <w:ilvl w:val="0"/>
          <w:numId w:val="7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cs="Times New Roman" w:ascii="Times New Roman" w:hAnsi="Times New Roman"/>
          <w:b/>
          <w:sz w:val="22"/>
          <w:szCs w:val="22"/>
        </w:rPr>
        <w:t>до целых единиц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numPr>
          <w:ilvl w:val="0"/>
          <w:numId w:val="7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Выходные</w:t>
      </w:r>
      <w:r>
        <w:rPr>
          <w:rFonts w:ascii="Times New Roman" w:hAnsi="Times New Roman"/>
        </w:rPr>
        <w:t xml:space="preserve"> формы сметных расчетов должны соответствовать Образцу согласно </w:t>
      </w:r>
      <w:r>
        <w:rPr>
          <w:rFonts w:ascii="Times New Roman" w:hAnsi="Times New Roman"/>
          <w:shd w:fill="auto" w:val="clear"/>
        </w:rPr>
        <w:t>Приложению 1.5.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</w:rPr>
        <w:t>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ListParagraph"/>
        <w:numPr>
          <w:ilvl w:val="0"/>
          <w:numId w:val="10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7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на бумажном носителе (количество указано в конкурсной документации) Образец ЛСР в соответствии с </w:t>
      </w:r>
      <w:r>
        <w:rPr>
          <w:rFonts w:cs="Times New Roman" w:ascii="Times New Roman" w:hAnsi="Times New Roman"/>
          <w:sz w:val="22"/>
          <w:szCs w:val="22"/>
          <w:shd w:fill="auto" w:val="clear"/>
        </w:rPr>
        <w:t>приложением № 1.5</w:t>
      </w:r>
      <w:r>
        <w:rPr>
          <w:rFonts w:cs="Times New Roman" w:ascii="Times New Roman" w:hAnsi="Times New Roman"/>
          <w:sz w:val="22"/>
          <w:szCs w:val="22"/>
        </w:rPr>
        <w:t xml:space="preserve">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7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7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формате ПК «Гранд-смета» выходная форма для печати указана ниже:</w:t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737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907530" cy="366903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7530" cy="3669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left="5811" w:firstLine="72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Normal"/>
        <w:spacing w:lineRule="auto" w:line="240" w:before="0" w:after="0"/>
        <w:jc w:val="right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left="5811" w:hanging="0"/>
        <w:jc w:val="right"/>
        <w:rPr/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>
      <w:pPr>
        <w:pStyle w:val="Normal"/>
        <w:spacing w:lineRule="auto" w:line="240" w:before="0" w:after="0"/>
        <w:ind w:left="5811" w:firstLine="720"/>
        <w:jc w:val="right"/>
        <w:rPr/>
      </w:pPr>
      <w:r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реконструкцию, техническое перевооружение и ремонт 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 по образцу.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</w:t>
      </w:r>
      <w:r>
        <w:rPr>
          <w:rFonts w:ascii="Times New Roman" w:hAnsi="Times New Roman"/>
          <w:color w:val="000000"/>
          <w:sz w:val="22"/>
          <w:highlight w:val="yellow"/>
        </w:rPr>
        <w:t>Приложениям №№ 1.3 и 1.4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к Требованиям </w:t>
      </w:r>
      <w:r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sectPr>
          <w:footerReference w:type="default" r:id="rId3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numPr>
          <w:ilvl w:val="0"/>
          <w:numId w:val="8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r>
        <w:rPr>
          <w:rFonts w:ascii="Times New Roman" w:hAnsi="Times New Roman"/>
          <w:color w:val="000000"/>
          <w:sz w:val="22"/>
        </w:rPr>
        <w:t xml:space="preserve">ТПиР).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ind w:left="57" w:firstLine="72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программе ремонтов, реконструкции и техническому перевооружению 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2" w:name="P2546"/>
      <w:bookmarkStart w:id="3" w:name="P2529"/>
      <w:bookmarkStart w:id="4" w:name="P2736"/>
      <w:bookmarkStart w:id="5" w:name="P2527"/>
      <w:bookmarkStart w:id="6" w:name="P2531"/>
      <w:bookmarkStart w:id="7" w:name="P2746"/>
      <w:bookmarkStart w:id="8" w:name="P2506"/>
      <w:bookmarkStart w:id="9" w:name="P2524"/>
      <w:bookmarkStart w:id="10" w:name="P2616"/>
      <w:bookmarkStart w:id="11" w:name="P2566"/>
      <w:bookmarkStart w:id="12" w:name="P2945"/>
      <w:bookmarkStart w:id="13" w:name="P3258"/>
      <w:bookmarkStart w:id="14" w:name="P2530"/>
      <w:bookmarkStart w:id="15" w:name="P2526"/>
      <w:bookmarkStart w:id="16" w:name="P2528"/>
      <w:bookmarkStart w:id="17" w:name="P2522"/>
      <w:bookmarkStart w:id="18" w:name="P2525"/>
      <w:bookmarkStart w:id="19" w:name="P2523"/>
      <w:bookmarkStart w:id="20" w:name="P2546"/>
      <w:bookmarkStart w:id="21" w:name="P2529"/>
      <w:bookmarkStart w:id="22" w:name="P2736"/>
      <w:bookmarkStart w:id="23" w:name="P2527"/>
      <w:bookmarkStart w:id="24" w:name="P2531"/>
      <w:bookmarkStart w:id="25" w:name="P2746"/>
      <w:bookmarkStart w:id="26" w:name="P2506"/>
      <w:bookmarkStart w:id="27" w:name="P2524"/>
      <w:bookmarkStart w:id="28" w:name="P2616"/>
      <w:bookmarkStart w:id="29" w:name="P2566"/>
      <w:bookmarkStart w:id="30" w:name="P2945"/>
      <w:bookmarkStart w:id="31" w:name="P3258"/>
      <w:bookmarkStart w:id="32" w:name="P2530"/>
      <w:bookmarkStart w:id="33" w:name="P2526"/>
      <w:bookmarkStart w:id="34" w:name="P2528"/>
      <w:bookmarkStart w:id="35" w:name="P2522"/>
      <w:bookmarkStart w:id="36" w:name="P2525"/>
      <w:bookmarkStart w:id="37" w:name="P2523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>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______________(Подрядчик )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widowControl w:val="false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right="-3855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>_____________(Заказчик )</w:t>
            </w:r>
          </w:p>
          <w:p>
            <w:pPr>
              <w:pStyle w:val="ConsPlusNormal1"/>
              <w:widowControl w:val="false"/>
              <w:ind w:left="2551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10982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33"/>
        <w:gridCol w:w="995"/>
        <w:gridCol w:w="282"/>
        <w:gridCol w:w="1271"/>
        <w:gridCol w:w="363"/>
        <w:gridCol w:w="1347"/>
        <w:gridCol w:w="426"/>
        <w:gridCol w:w="1131"/>
        <w:gridCol w:w="1558"/>
        <w:gridCol w:w="1425"/>
        <w:gridCol w:w="1549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7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tabs>
                <w:tab w:val="clear" w:pos="709"/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программе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9"/>
          <w:tab w:val="left" w:pos="6804" w:leader="none"/>
        </w:tabs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9"/>
          <w:tab w:val="left" w:pos="6946" w:leader="none"/>
        </w:tabs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к договору от________№_____ </w:t>
      </w:r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222"/>
        <w:gridCol w:w="9692"/>
      </w:tblGrid>
      <w:tr>
        <w:trPr/>
        <w:tc>
          <w:tcPr>
            <w:tcW w:w="1222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2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2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2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6" w:type="dxa"/>
        <w:jc w:val="left"/>
        <w:tblInd w:w="4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8"/>
        <w:gridCol w:w="990"/>
        <w:gridCol w:w="292"/>
        <w:gridCol w:w="1637"/>
        <w:gridCol w:w="57"/>
        <w:gridCol w:w="1699"/>
        <w:gridCol w:w="14"/>
        <w:gridCol w:w="1264"/>
        <w:gridCol w:w="1425"/>
        <w:gridCol w:w="1135"/>
        <w:gridCol w:w="1763"/>
      </w:tblGrid>
      <w:tr>
        <w:trPr>
          <w:trHeight w:val="311" w:hRule="atLeast"/>
        </w:trPr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Сметы основного договора</w:t>
            </w:r>
          </w:p>
        </w:tc>
      </w:tr>
      <w:tr>
        <w:trPr>
          <w:trHeight w:val="287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2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главам №№: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7" w:type="dxa"/>
            <w:gridSpan w:val="4"/>
            <w:tcBorders/>
          </w:tcPr>
          <w:p>
            <w:pPr>
              <w:pStyle w:val="ConsPlusNormal1"/>
              <w:widowControl w:val="false"/>
              <w:tabs>
                <w:tab w:val="clear" w:pos="709"/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widowControl w:val="false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57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7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7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7" w:type="dxa"/>
            <w:gridSpan w:val="4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57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7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7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ConsPlusNormal1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694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587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587" w:type="dxa"/>
            <w:gridSpan w:val="4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94" w:type="dxa"/>
            <w:gridSpan w:val="8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94" w:type="dxa"/>
            <w:gridSpan w:val="8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sectPr>
          <w:footerReference w:type="default" r:id="rId4"/>
          <w:footerReference w:type="first" r:id="rId5"/>
          <w:type w:val="nextPage"/>
          <w:pgSz w:w="11906" w:h="16838"/>
          <w:pgMar w:left="426" w:right="567" w:gutter="0" w:header="0" w:top="0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4"/>
        <w:gridCol w:w="851"/>
        <w:gridCol w:w="850"/>
        <w:gridCol w:w="1277"/>
        <w:gridCol w:w="1277"/>
        <w:gridCol w:w="1700"/>
        <w:gridCol w:w="1708"/>
        <w:gridCol w:w="2117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710"/>
        <w:gridCol w:w="850"/>
        <w:gridCol w:w="1209"/>
        <w:gridCol w:w="915"/>
        <w:gridCol w:w="851"/>
        <w:gridCol w:w="853"/>
        <w:gridCol w:w="851"/>
        <w:gridCol w:w="851"/>
        <w:gridCol w:w="706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6"/>
          <w:footerReference w:type="first" r:id="rId7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sectPr>
          <w:footerReference w:type="default" r:id="rId10"/>
          <w:footerReference w:type="first" r:id="rId11"/>
          <w:type w:val="nextPage"/>
          <w:pgSz w:orient="landscape" w:w="16838" w:h="11906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object w:dxaOrig="20480" w:dyaOrig="19201">
          <v:shapetype id="_x0000_tole_rId8" coordsize="21600,21600" o:spt="ole_rId8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8" type="_x0000_tole_rId8" style="position:absolute;margin-left:67.9pt;margin-top:16.2pt;width:655.15pt;height:402.95pt;mso-wrap-distance-right:0pt;mso-position-horizontal-relative:text;mso-position-vertical-relative:text" filled="f" o:ole="">
            <v:imagedata r:id="rId9" o:title=""/>
            <w10:wrap type="square"/>
          </v:shape>
          <o:OLEObject Type="Embed" ProgID="Excel.Sheet.12" ShapeID="ole_rId8" DrawAspect="Content" ObjectID="_1499096804" r:id="rId8"/>
        </w:objec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договору от ______№_______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576"/>
              <w:gridCol w:w="2208"/>
              <w:gridCol w:w="1108"/>
              <w:gridCol w:w="1185"/>
              <w:gridCol w:w="1416"/>
              <w:gridCol w:w="1424"/>
              <w:gridCol w:w="1731"/>
            </w:tblGrid>
            <w:tr>
              <w:trPr>
                <w:tblHeader w:val="true"/>
              </w:trPr>
              <w:tc>
                <w:tcPr>
                  <w:tcW w:w="57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8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3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6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8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24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1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8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6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8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576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20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108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41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424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7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 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 при командировании на территории, не относящиеся к районам Крайнего Севера и приравненных к ним местностям, принимать в размере не более: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– 700 руб./сутки;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до 5000 руб./сутки;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Методом анализа ТКП в соответствии с Методикой ПЦ</w:t>
      </w:r>
      <w:r>
        <w:rPr>
          <w:rFonts w:eastAsia="Calibri" w:ascii="Times New Roman" w:hAnsi="Times New Roman"/>
          <w:lang w:eastAsia="en-US"/>
        </w:rPr>
        <w:t>.</w:t>
      </w:r>
    </w:p>
    <w:p>
      <w:pPr>
        <w:sectPr>
          <w:footerReference w:type="default" r:id="rId12"/>
          <w:footerReference w:type="first" r:id="rId13"/>
          <w:type w:val="nextPage"/>
          <w:pgSz w:w="11906" w:h="16838"/>
          <w:pgMar w:left="993" w:right="924" w:gutter="0" w:header="0" w:top="568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jc w:val="left"/>
        <w:tblInd w:w="-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56"/>
        <w:gridCol w:w="142"/>
        <w:gridCol w:w="990"/>
        <w:gridCol w:w="710"/>
        <w:gridCol w:w="1275"/>
        <w:gridCol w:w="709"/>
        <w:gridCol w:w="1442"/>
        <w:gridCol w:w="1311"/>
        <w:gridCol w:w="936"/>
        <w:gridCol w:w="1132"/>
        <w:gridCol w:w="1557"/>
      </w:tblGrid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  <w:lang w:val="en-US"/>
              </w:rPr>
              <w:t>/</w:t>
            </w:r>
            <w:r>
              <w:rPr>
                <w:rFonts w:ascii="Times New Roman" w:hAnsi="Times New Roman"/>
              </w:rPr>
              <w:t>п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7" w:hRule="atLeast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>
        <w:trPr/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сметной документации на выполнение проектных и изыскательских работ.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284" w:leader="none"/>
        </w:tabs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284" w:leader="none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>
      <w:pPr>
        <w:pStyle w:val="ListParagraph"/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/>
        <w:t xml:space="preserve"> </w:t>
      </w:r>
      <w:r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</w:rPr>
        <w:t>по согласованию с Заказчиком</w:t>
      </w:r>
      <w:r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  <w:tab w:val="left" w:pos="426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284" w:leader="none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284" w:leader="none"/>
        </w:tabs>
        <w:ind w:left="284" w:firstLine="28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Стоимость работ, цены на которые отсутствуют в СБЦ и СЦ, внесенных в </w:t>
      </w:r>
      <w:r>
        <w:rPr>
          <w:rFonts w:cs="Times New Roman" w:ascii="Times New Roman" w:hAnsi="Times New Roman"/>
          <w:sz w:val="22"/>
          <w:szCs w:val="22"/>
        </w:rPr>
        <w:t>ФРСН</w:t>
      </w:r>
      <w:r>
        <w:rPr>
          <w:rFonts w:ascii="Times New Roman" w:hAnsi="Times New Roman"/>
          <w:sz w:val="22"/>
          <w:szCs w:val="22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4">
        <w:r>
          <w:rPr>
            <w:rStyle w:val="Hyperlink"/>
            <w:rFonts w:ascii="Times New Roman" w:hAnsi="Times New Roman"/>
            <w:sz w:val="22"/>
            <w:szCs w:val="22"/>
          </w:rPr>
          <w:t>3п</w:t>
        </w:r>
      </w:hyperlink>
      <w:r>
        <w:rPr>
          <w:rFonts w:ascii="Times New Roman" w:hAnsi="Times New Roman"/>
          <w:sz w:val="22"/>
          <w:szCs w:val="22"/>
        </w:rPr>
        <w:t>) по согласованию с Заказчиком.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284" w:leader="none"/>
        </w:tabs>
        <w:ind w:left="284" w:firstLine="28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9"/>
          <w:tab w:val="left" w:pos="284" w:leader="none"/>
          <w:tab w:val="left" w:pos="993" w:leader="none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Сметы на ПИР предоставляются в форматах: «Excel» и «</w:t>
      </w:r>
      <w:r>
        <w:rPr>
          <w:rFonts w:cs="Times New Roman" w:ascii="Times New Roman" w:hAnsi="Times New Roman"/>
          <w:sz w:val="22"/>
          <w:szCs w:val="22"/>
          <w:lang w:val="en-US"/>
        </w:rPr>
        <w:t>pdf</w:t>
      </w:r>
      <w:r>
        <w:rPr>
          <w:rFonts w:cs="Times New Roman" w:ascii="Times New Roman" w:hAnsi="Times New Roman"/>
          <w:sz w:val="22"/>
          <w:szCs w:val="22"/>
        </w:rPr>
        <w:t>» (с подписями и печатью). Сметная документация в формате «Exce</w:t>
      </w:r>
      <w:r>
        <w:rPr>
          <w:rFonts w:cs="Times New Roman" w:ascii="Times New Roman" w:hAnsi="Times New Roman"/>
          <w:sz w:val="22"/>
          <w:szCs w:val="22"/>
          <w:lang w:val="en-US"/>
        </w:rPr>
        <w:t>l</w:t>
      </w:r>
      <w:r>
        <w:rPr>
          <w:rFonts w:cs="Times New Roman" w:ascii="Times New Roman" w:hAnsi="Times New Roman"/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284" w:leader="none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Результаты вычислений </w:t>
      </w:r>
      <w:r>
        <w:rPr>
          <w:rFonts w:cs="Times New Roman" w:ascii="Times New Roman" w:hAnsi="Times New Roman"/>
          <w:sz w:val="22"/>
          <w:szCs w:val="22"/>
        </w:rPr>
        <w:t xml:space="preserve">(построчные) </w:t>
      </w:r>
      <w:r>
        <w:rPr>
          <w:rFonts w:ascii="Times New Roman" w:hAnsi="Times New Roman"/>
          <w:sz w:val="22"/>
          <w:szCs w:val="22"/>
        </w:rPr>
        <w:t xml:space="preserve">и итоговые данные в </w:t>
      </w:r>
      <w:r>
        <w:rPr>
          <w:rFonts w:cs="Times New Roman" w:ascii="Times New Roman" w:hAnsi="Times New Roman"/>
          <w:sz w:val="22"/>
          <w:szCs w:val="22"/>
        </w:rPr>
        <w:t>ЛСР (ЛС), приводятся в рублях,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567" w:leader="none"/>
        </w:tabs>
        <w:ind w:left="567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cs="Times New Roman" w:ascii="Times New Roman" w:hAnsi="Times New Roman"/>
          <w:sz w:val="24"/>
          <w:szCs w:val="24"/>
        </w:rPr>
        <w:t>затрат - с округлением до целых единиц;</w:t>
      </w:r>
    </w:p>
    <w:p>
      <w:pPr>
        <w:pStyle w:val="ConsPlusNormal1"/>
        <w:numPr>
          <w:ilvl w:val="0"/>
          <w:numId w:val="14"/>
        </w:numPr>
        <w:tabs>
          <w:tab w:val="clear" w:pos="709"/>
          <w:tab w:val="left" w:pos="567" w:leader="none"/>
        </w:tabs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сводной смете - в рублях с округлением до целых единиц. </w:t>
      </w:r>
    </w:p>
    <w:p>
      <w:pPr>
        <w:pStyle w:val="ConsPlusNormal1"/>
        <w:numPr>
          <w:ilvl w:val="0"/>
          <w:numId w:val="13"/>
        </w:numPr>
        <w:tabs>
          <w:tab w:val="clear" w:pos="709"/>
          <w:tab w:val="left" w:pos="284" w:leader="none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Командировочные расходы, учтенные в смете, подтверждаются отдельным расчетом.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 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- 700 руб./сутки;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5000 руб./сутки;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i/>
          <w:i/>
          <w:color w:val="000000" w:themeColor="text1"/>
        </w:rPr>
      </w:pPr>
      <w:r>
        <w:rPr>
          <w:rFonts w:ascii="Times New Roman" w:hAnsi="Times New Roman"/>
        </w:rPr>
        <w:t>При одновременной разработке проектной и полной или частичной разработке рабочей 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sectPr>
          <w:footerReference w:type="default" r:id="rId15"/>
          <w:footerReference w:type="first" r:id="rId16"/>
          <w:footnotePr>
            <w:numFmt w:val="decimal"/>
            <w:numRestart w:val="eachSect"/>
          </w:footnotePr>
          <w:type w:val="nextPage"/>
          <w:pgSz w:w="11906" w:h="16838"/>
          <w:pgMar w:left="1134" w:right="709" w:gutter="0" w:header="0" w:top="709" w:footer="709" w:bottom="766"/>
          <w:pgNumType w:fmt="decimal"/>
          <w:formProt w:val="false"/>
          <w:textDirection w:val="lrTb"/>
          <w:docGrid w:type="default" w:linePitch="360" w:charSpace="0"/>
        </w:sectPr>
        <w:pStyle w:val="ConsPlusNormal1"/>
        <w:numPr>
          <w:ilvl w:val="0"/>
          <w:numId w:val="13"/>
        </w:numPr>
        <w:tabs>
          <w:tab w:val="clear" w:pos="709"/>
          <w:tab w:val="left" w:pos="284" w:leader="none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главу 1 ССРСС. Стоимость данных работ не включается в расчет стоимости проведения государственной экспертизы.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при составлении смет на ПИР.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ListParagraph"/>
        <w:numPr>
          <w:ilvl w:val="0"/>
          <w:numId w:val="11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ListParagraph"/>
        <w:numPr>
          <w:ilvl w:val="0"/>
          <w:numId w:val="11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ListParagraph"/>
        <w:numPr>
          <w:ilvl w:val="0"/>
          <w:numId w:val="11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ListParagraph"/>
        <w:numPr>
          <w:ilvl w:val="0"/>
          <w:numId w:val="11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ListParagraph"/>
        <w:numPr>
          <w:ilvl w:val="0"/>
          <w:numId w:val="1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Особенности заполнения формы №3п.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2 приводится наименование выполняемых работ;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графе 7 указывается заработная плата в рублях (</w:t>
      </w:r>
      <w:r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>
        <w:rPr>
          <w:rFonts w:ascii="Times New Roman" w:hAnsi="Times New Roman"/>
          <w:color w:val="000000"/>
        </w:rPr>
        <w:t>);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 (</w:t>
      </w:r>
      <w:r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>
        <w:rPr>
          <w:rFonts w:ascii="Times New Roman" w:hAnsi="Times New Roman"/>
          <w:color w:val="000000"/>
        </w:rPr>
        <w:t>), находящийся в пределах не менее 30%–уточняется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- 700 руб./сутки;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5000 руб./сутки;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Методом анализа ТКП в соответствии с Методикой формирования плановой цены на закупаемую продукцию для организаций Группы РусГидро (далее – Методика ПЦ)</w:t>
      </w:r>
    </w:p>
    <w:p>
      <w:pPr>
        <w:sectPr>
          <w:footerReference w:type="default" r:id="rId17"/>
          <w:footerReference w:type="first" r:id="rId18"/>
          <w:footnotePr>
            <w:numFmt w:val="decimal"/>
            <w:numRestart w:val="eachSect"/>
          </w:footnotePr>
          <w:type w:val="nextPage"/>
          <w:pgSz w:w="11906" w:h="16838"/>
          <w:pgMar w:left="1304" w:right="924" w:gutter="0" w:header="0" w:top="709" w:footer="709" w:bottom="766"/>
          <w:pgNumType w:fmt="decimal"/>
          <w:formProt w:val="false"/>
          <w:textDirection w:val="lrTb"/>
          <w:docGrid w:type="default" w:linePitch="360" w:charSpace="0"/>
        </w:sectPr>
        <w:pStyle w:val="ListParagraph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</w:rPr>
        <w:t>Рентабельность предприятия_______ (%)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</w:rPr>
        <w:footnoteReference w:id="3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>
      <w:pPr>
        <w:sectPr>
          <w:footerReference w:type="default" r:id="rId19"/>
          <w:footerReference w:type="first" r:id="rId20"/>
          <w:footnotePr>
            <w:numFmt w:val="decimal"/>
            <w:numRestart w:val="eachSect"/>
          </w:footnotePr>
          <w:type w:val="nextPage"/>
          <w:pgSz w:w="11906" w:h="16838"/>
          <w:pgMar w:left="1304" w:right="924" w:gutter="0" w:header="0" w:top="539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shd w:val="clear" w:color="auto" w:fill="FFFFFF"/>
        <w:spacing w:lineRule="auto" w:line="240" w:before="0" w:after="0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  <w:t>Образцы оформления сметной документации на проектные (изыскательские) работы</w:t>
      </w:r>
    </w:p>
    <w:p>
      <w:pPr>
        <w:pStyle w:val="Normal"/>
        <w:shd w:val="clear" w:color="auto" w:fill="FFFFFF"/>
        <w:spacing w:lineRule="auto" w:line="240" w:before="0" w:after="0"/>
        <w:ind w:right="565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b/>
        </w:rPr>
        <w:t>Образец 2П</w:t>
      </w:r>
    </w:p>
    <w:tbl>
      <w:tblPr>
        <w:tblW w:w="85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05"/>
      </w:tblGrid>
      <w:tr>
        <w:trPr/>
        <w:tc>
          <w:tcPr>
            <w:tcW w:w="8505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____к договору № 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3829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828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5284"/>
              <w:gridCol w:w="3004"/>
            </w:tblGrid>
            <w:tr>
              <w:trPr>
                <w:trHeight w:val="417" w:hRule="atLeast"/>
              </w:trPr>
              <w:tc>
                <w:tcPr>
                  <w:tcW w:w="5284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_________________(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004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372"/>
              <w:gridCol w:w="1957"/>
              <w:gridCol w:w="3067"/>
              <w:gridCol w:w="1821"/>
              <w:gridCol w:w="1072"/>
            </w:tblGrid>
            <w:tr>
              <w:trPr>
                <w:tblHeader w:val="true"/>
              </w:trPr>
              <w:tc>
                <w:tcPr>
                  <w:tcW w:w="3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 xml:space="preserve">№ </w:t>
                  </w:r>
                  <w:r>
                    <w:rPr>
                      <w:rFonts w:ascii="Times New Roman" w:hAnsi="Times New Roman"/>
                    </w:rPr>
                    <w:t>пп</w:t>
                  </w:r>
                </w:p>
              </w:tc>
              <w:tc>
                <w:tcPr>
                  <w:tcW w:w="195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06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82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K</w:t>
                  </w:r>
                  <w:r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10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372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95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06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82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или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</w:rPr>
                    <w:sym w:font="Symbol" w:char="f0b4"/>
                  </w:r>
                  <w:r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1072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95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06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82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37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95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06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82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72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  <w:tr>
              <w:trPr/>
              <w:tc>
                <w:tcPr>
                  <w:tcW w:w="37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95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06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82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1072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Проверил:___________/должность, организация/___________/подпись/________/расшифровка подписи/</w:t>
            </w:r>
          </w:p>
        </w:tc>
      </w:tr>
      <w:tr>
        <w:trPr/>
        <w:tc>
          <w:tcPr>
            <w:tcW w:w="85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footerReference w:type="default" r:id="rId21"/>
          <w:footerReference w:type="first" r:id="rId22"/>
          <w:footnotePr>
            <w:numFmt w:val="decimal"/>
            <w:numRestart w:val="eachSect"/>
          </w:footnotePr>
          <w:type w:val="nextPage"/>
          <w:pgSz w:w="11906" w:h="16838"/>
          <w:pgMar w:left="1701" w:right="1700" w:gutter="0" w:header="0" w:top="1134" w:footer="709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3П</w:t>
      </w:r>
    </w:p>
    <w:tbl>
      <w:tblPr>
        <w:tblW w:w="93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354"/>
      </w:tblGrid>
      <w:tr>
        <w:trPr/>
        <w:tc>
          <w:tcPr>
            <w:tcW w:w="9354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Приложение к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811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_(договору, дополнительному соглашению)_________________________________________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76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90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858"/>
              <w:gridCol w:w="4201"/>
            </w:tblGrid>
            <w:tr>
              <w:trPr>
                <w:trHeight w:val="417" w:hRule="atLeast"/>
              </w:trPr>
              <w:tc>
                <w:tcPr>
                  <w:tcW w:w="4858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4201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550"/>
              <w:gridCol w:w="2120"/>
              <w:gridCol w:w="1131"/>
              <w:gridCol w:w="1071"/>
              <w:gridCol w:w="1254"/>
              <w:gridCol w:w="1255"/>
              <w:gridCol w:w="1756"/>
            </w:tblGrid>
            <w:tr>
              <w:trPr>
                <w:tblHeader w:val="true"/>
              </w:trPr>
              <w:tc>
                <w:tcPr>
                  <w:tcW w:w="5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п.п.</w:t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02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254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25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5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50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1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254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25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5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11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1254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50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212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1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254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25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550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1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</w:r>
                </w:p>
              </w:tc>
              <w:tc>
                <w:tcPr>
                  <w:tcW w:w="125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5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  <w:r>
              <w:rPr>
                <w:rFonts w:ascii="Times New Roman" w:hAnsi="Times New Roman"/>
              </w:rPr>
              <w:t>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Командировочные расходы (по расчету)_____________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>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Составил:______________/должность, организация/__________/подпись/_______/расшифровка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Проверил:___________/должность, организация/_____________/подпись/_______ /расшифровка подписи/</w:t>
            </w:r>
          </w:p>
        </w:tc>
      </w:tr>
      <w:tr>
        <w:trPr/>
        <w:tc>
          <w:tcPr>
            <w:tcW w:w="9354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footerReference w:type="default" r:id="rId23"/>
          <w:footerReference w:type="first" r:id="rId24"/>
          <w:footnotePr>
            <w:numFmt w:val="decimal"/>
            <w:numRestart w:val="eachSect"/>
          </w:footnotePr>
          <w:type w:val="nextPage"/>
          <w:pgSz w:w="11906" w:h="16838"/>
          <w:pgMar w:left="1701" w:right="851" w:gutter="0" w:header="0" w:top="1134" w:footer="709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>
        <w:rPr>
          <w:rFonts w:ascii="Times New Roman" w:hAnsi="Times New Roman"/>
          <w:b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jc w:val="left"/>
        <w:tblInd w:w="-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9"/>
        <w:gridCol w:w="707"/>
        <w:gridCol w:w="847"/>
        <w:gridCol w:w="884"/>
        <w:gridCol w:w="990"/>
        <w:gridCol w:w="851"/>
        <w:gridCol w:w="1276"/>
        <w:gridCol w:w="1276"/>
        <w:gridCol w:w="850"/>
        <w:gridCol w:w="1134"/>
        <w:gridCol w:w="1276"/>
      </w:tblGrid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пп.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Стоимость проживания руб./сут. </w:t>
              <w:br/>
              <w:t>(без НДС)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>
            <w:pPr>
              <w:pStyle w:val="Normal"/>
              <w:widowControl w:val="false"/>
              <w:spacing w:lineRule="auto" w:line="240" w:before="0" w:after="0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командированванных 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1 в пункт 5</w:t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1 в пункт 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2 в пункт 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4 в пункт 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1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17" w:hRule="atLeast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1081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3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816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5 в пункт 1</w:t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5 в пункт 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4 в пункт 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</w:tr>
      <w:tr>
        <w:trPr/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пункта 2 в пункт 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1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1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стоимость командировочных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3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2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14"/>
        <w:gridCol w:w="238"/>
        <w:gridCol w:w="2183"/>
        <w:gridCol w:w="1095"/>
        <w:gridCol w:w="306"/>
        <w:gridCol w:w="236"/>
        <w:gridCol w:w="1580"/>
      </w:tblGrid>
      <w:tr>
        <w:trPr>
          <w:trHeight w:val="20" w:hRule="atLeast"/>
        </w:trPr>
        <w:tc>
          <w:tcPr>
            <w:tcW w:w="921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bookmarkStart w:id="38" w:name="RANGE!A1%252525252525253AD25"/>
            <w:bookmarkStart w:id="39" w:name="RANGE!A1%252525252525253AD25"/>
            <w:bookmarkEnd w:id="39"/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к Договору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от___ ______202___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</w:t>
            </w:r>
            <w:r>
              <w:rPr>
                <w:rFonts w:ascii="Times New Roman" w:hAnsi="Times New Roman"/>
              </w:rPr>
              <w:t>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СОГЛАСОВАНО:                                                                                   УТВЕРЖДЕНО: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1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7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42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1635" w:type="dxa"/>
            <w:gridSpan w:val="3"/>
            <w:tcBorders/>
          </w:tcPr>
          <w:tbl>
            <w:tblPr>
              <w:tblW w:w="9969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VBand="0" w:noHBand="0" w:lastColumn="0" w:firstColumn="0" w:lastRow="0" w:firstRow="0"/>
            </w:tblPr>
            <w:tblGrid>
              <w:gridCol w:w="565"/>
              <w:gridCol w:w="18"/>
              <w:gridCol w:w="578"/>
              <w:gridCol w:w="749"/>
              <w:gridCol w:w="169"/>
              <w:gridCol w:w="1369"/>
              <w:gridCol w:w="40"/>
              <w:gridCol w:w="297"/>
              <w:gridCol w:w="183"/>
              <w:gridCol w:w="1133"/>
              <w:gridCol w:w="95"/>
              <w:gridCol w:w="89"/>
              <w:gridCol w:w="726"/>
              <w:gridCol w:w="1418"/>
              <w:gridCol w:w="2001"/>
              <w:gridCol w:w="150"/>
              <w:gridCol w:w="245"/>
              <w:gridCol w:w="144"/>
            </w:tblGrid>
            <w:tr>
              <w:trPr/>
              <w:tc>
                <w:tcPr>
                  <w:tcW w:w="9580" w:type="dxa"/>
                  <w:gridSpan w:val="16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СВОДНАЯ СМЕТА №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5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15" w:type="dxa"/>
                  <w:gridSpan w:val="15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45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015" w:type="dxa"/>
                  <w:gridSpan w:val="15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стройки)</w:t>
                  </w:r>
                </w:p>
              </w:tc>
              <w:tc>
                <w:tcPr>
                  <w:tcW w:w="245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345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Заказчик</w:t>
                  </w:r>
                </w:p>
              </w:tc>
              <w:tc>
                <w:tcPr>
                  <w:tcW w:w="7915" w:type="dxa"/>
                  <w:gridSpan w:val="13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345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915" w:type="dxa"/>
                  <w:gridSpan w:val="13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  <w:vAlign w:val="bottom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403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57" w:type="dxa"/>
                  <w:gridSpan w:val="8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60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60" w:type="dxa"/>
                  <w:gridSpan w:val="16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  <w:vAlign w:val="bottom"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923" w:type="dxa"/>
                  <w:gridSpan w:val="6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Проектная организация</w:t>
                  </w:r>
                </w:p>
              </w:tc>
              <w:tc>
                <w:tcPr>
                  <w:tcW w:w="6337" w:type="dxa"/>
                  <w:gridSpan w:val="10"/>
                  <w:tcBorders>
                    <w:top w:val="single" w:sz="4" w:space="0" w:color="000000"/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60" w:type="dxa"/>
                  <w:gridSpan w:val="16"/>
                  <w:tcBorders>
                    <w:bottom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65" w:type="dxa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260" w:type="dxa"/>
                  <w:gridSpan w:val="16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(наименование организации)</w:t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83" w:type="dxa"/>
                  <w:gridSpan w:val="2"/>
                  <w:tcBorders/>
                </w:tcPr>
                <w:p>
                  <w:pPr>
                    <w:pStyle w:val="ConsPlusNormal1"/>
                    <w:widowControl w:val="false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8847" w:type="dxa"/>
                  <w:gridSpan w:val="13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50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245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61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N№ п/п</w:t>
                  </w:r>
                </w:p>
              </w:tc>
              <w:tc>
                <w:tcPr>
                  <w:tcW w:w="2287" w:type="dxa"/>
                  <w:gridSpan w:val="3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48" w:type="dxa"/>
                  <w:gridSpan w:val="5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Обоснование</w:t>
                  </w:r>
                </w:p>
              </w:tc>
              <w:tc>
                <w:tcPr>
                  <w:tcW w:w="477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61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87" w:type="dxa"/>
                  <w:gridSpan w:val="3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48" w:type="dxa"/>
                  <w:gridSpan w:val="5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3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инженерных изысканий</w:t>
                  </w:r>
                </w:p>
              </w:tc>
              <w:tc>
                <w:tcPr>
                  <w:tcW w:w="254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6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1</w:t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2</w:t>
                  </w:r>
                </w:p>
              </w:tc>
              <w:tc>
                <w:tcPr>
                  <w:tcW w:w="174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3</w:t>
                  </w:r>
                </w:p>
              </w:tc>
              <w:tc>
                <w:tcPr>
                  <w:tcW w:w="223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4</w:t>
                  </w:r>
                </w:p>
              </w:tc>
              <w:tc>
                <w:tcPr>
                  <w:tcW w:w="254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116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</w:t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Инженерные изыскания</w:t>
                  </w:r>
                </w:p>
              </w:tc>
              <w:tc>
                <w:tcPr>
                  <w:tcW w:w="174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54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6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4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  <w:tc>
                <w:tcPr>
                  <w:tcW w:w="254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6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II</w:t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Проектная документация</w:t>
                  </w:r>
                </w:p>
              </w:tc>
              <w:tc>
                <w:tcPr>
                  <w:tcW w:w="174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54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116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4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54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6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III</w:t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Рабочая документация</w:t>
                  </w:r>
                </w:p>
              </w:tc>
              <w:tc>
                <w:tcPr>
                  <w:tcW w:w="174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54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116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4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54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6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Итого по видам работ</w:t>
                  </w:r>
                </w:p>
              </w:tc>
              <w:tc>
                <w:tcPr>
                  <w:tcW w:w="174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3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  <w:tc>
                <w:tcPr>
                  <w:tcW w:w="254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6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228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ВСЕГО</w:t>
                  </w:r>
                </w:p>
              </w:tc>
              <w:tc>
                <w:tcPr>
                  <w:tcW w:w="174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77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785" w:type="dxa"/>
                  <w:gridSpan w:val="8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Руководитель</w:t>
                  </w:r>
                </w:p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проектной организации</w:t>
                  </w:r>
                </w:p>
              </w:tc>
              <w:tc>
                <w:tcPr>
                  <w:tcW w:w="6184" w:type="dxa"/>
                  <w:gridSpan w:val="10"/>
                  <w:tcBorders>
                    <w:top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785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6184" w:type="dxa"/>
                  <w:gridSpan w:val="10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785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Главный инженер проекта</w:t>
                  </w:r>
                </w:p>
              </w:tc>
              <w:tc>
                <w:tcPr>
                  <w:tcW w:w="6184" w:type="dxa"/>
                  <w:gridSpan w:val="10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785" w:type="dxa"/>
                  <w:gridSpan w:val="8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6184" w:type="dxa"/>
                  <w:gridSpan w:val="10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07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Начальник отдела</w:t>
                  </w:r>
                </w:p>
              </w:tc>
              <w:tc>
                <w:tcPr>
                  <w:tcW w:w="3022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184" w:type="dxa"/>
                  <w:gridSpan w:val="2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4684" w:type="dxa"/>
                  <w:gridSpan w:val="6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07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022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910" w:type="dxa"/>
                  <w:gridSpan w:val="3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3958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07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ind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Заказчик</w:t>
                  </w:r>
                </w:p>
              </w:tc>
              <w:tc>
                <w:tcPr>
                  <w:tcW w:w="7890" w:type="dxa"/>
                  <w:gridSpan w:val="13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/>
              <w:tc>
                <w:tcPr>
                  <w:tcW w:w="2079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890" w:type="dxa"/>
                  <w:gridSpan w:val="13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ConsPlusNormal1"/>
              <w:widowControl w:val="false"/>
              <w:ind w:right="-5522" w:firstLine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17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2" w:hanging="0"/>
        <w:jc w:val="both"/>
        <w:rPr>
          <w:rFonts w:ascii="Times New Roman" w:hAnsi="Times New Roman"/>
          <w:sz w:val="20"/>
        </w:rPr>
      </w:pPr>
      <w:r>
        <w:rPr/>
      </w:r>
      <w:bookmarkStart w:id="40" w:name="_GoBack"/>
      <w:bookmarkStart w:id="41" w:name="_GoBack"/>
      <w:bookmarkEnd w:id="41"/>
    </w:p>
    <w:sectPr>
      <w:footerReference w:type="default" r:id="rId25"/>
      <w:footerReference w:type="first" r:id="rId26"/>
      <w:footnotePr>
        <w:numFmt w:val="decimal"/>
        <w:numRestart w:val="eachSect"/>
      </w:footnotePr>
      <w:type w:val="nextPage"/>
      <w:pgSz w:w="11906" w:h="16838"/>
      <w:pgMar w:left="1304" w:right="924" w:gutter="0" w:header="0" w:top="851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8805906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6285075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9197330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32494008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9171731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8612114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9204197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2879898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7404358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4584687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9365609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rFonts w:ascii="Times New Roman" w:hAnsi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15"/>
  </w:num>
  <w:num w:numId="21">
    <w:abstractNumId w:val="15"/>
  </w:num>
</w:numbering>
</file>

<file path=word/settings.xml><?xml version="1.0" encoding="utf-8"?>
<w:settings xmlns:w="http://schemas.openxmlformats.org/wordprocessingml/2006/main">
  <w:zoom w:percent="101"/>
  <w:defaultTabStop w:val="709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3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"/>
    <w:qFormat/>
    <w:rsid w:val="00b5006b"/>
    <w:p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b5006b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6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16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Style32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4">
    <w:name w:val="Table Grid"/>
    <w:basedOn w:val="a5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package" Target="embeddings/oleObject1.xlsx"/><Relationship Id="rId9" Type="http://schemas.openxmlformats.org/officeDocument/2006/relationships/image" Target="media/image2.emf"/><Relationship Id="rId10" Type="http://schemas.openxmlformats.org/officeDocument/2006/relationships/footer" Target="footer6.xml"/><Relationship Id="rId11" Type="http://schemas.openxmlformats.org/officeDocument/2006/relationships/footer" Target="footer7.xml"/><Relationship Id="rId12" Type="http://schemas.openxmlformats.org/officeDocument/2006/relationships/footer" Target="footer8.xml"/><Relationship Id="rId13" Type="http://schemas.openxmlformats.org/officeDocument/2006/relationships/footer" Target="footer9.xml"/><Relationship Id="rId14" Type="http://schemas.openxmlformats.org/officeDocument/2006/relationships/hyperlink" Target="../../../../../../../tmp/C:/Users/kozmaly_in/AppData/Local/Microsoft/Windows/INetCache/Content.Outlook/L23QPOJC/3&#1055;" TargetMode="External"/><Relationship Id="rId15" Type="http://schemas.openxmlformats.org/officeDocument/2006/relationships/footer" Target="footer10.xml"/><Relationship Id="rId16" Type="http://schemas.openxmlformats.org/officeDocument/2006/relationships/footer" Target="footer11.xml"/><Relationship Id="rId17" Type="http://schemas.openxmlformats.org/officeDocument/2006/relationships/footer" Target="footer12.xml"/><Relationship Id="rId18" Type="http://schemas.openxmlformats.org/officeDocument/2006/relationships/footer" Target="footer13.xml"/><Relationship Id="rId19" Type="http://schemas.openxmlformats.org/officeDocument/2006/relationships/footer" Target="footer14.xml"/><Relationship Id="rId20" Type="http://schemas.openxmlformats.org/officeDocument/2006/relationships/footer" Target="footer15.xml"/><Relationship Id="rId21" Type="http://schemas.openxmlformats.org/officeDocument/2006/relationships/footer" Target="footer16.xml"/><Relationship Id="rId22" Type="http://schemas.openxmlformats.org/officeDocument/2006/relationships/footer" Target="footer17.xml"/><Relationship Id="rId23" Type="http://schemas.openxmlformats.org/officeDocument/2006/relationships/footer" Target="footer18.xml"/><Relationship Id="rId24" Type="http://schemas.openxmlformats.org/officeDocument/2006/relationships/footer" Target="footer19.xml"/><Relationship Id="rId25" Type="http://schemas.openxmlformats.org/officeDocument/2006/relationships/footer" Target="footer20.xml"/><Relationship Id="rId26" Type="http://schemas.openxmlformats.org/officeDocument/2006/relationships/footer" Target="footer21.xml"/><Relationship Id="rId27" Type="http://schemas.openxmlformats.org/officeDocument/2006/relationships/footnotes" Target="footnotes.xml"/><Relationship Id="rId28" Type="http://schemas.openxmlformats.org/officeDocument/2006/relationships/numbering" Target="numbering.xml"/><Relationship Id="rId29" Type="http://schemas.openxmlformats.org/officeDocument/2006/relationships/fontTable" Target="fontTable.xml"/><Relationship Id="rId30" Type="http://schemas.openxmlformats.org/officeDocument/2006/relationships/settings" Target="settings.xml"/><Relationship Id="rId31" Type="http://schemas.openxmlformats.org/officeDocument/2006/relationships/theme" Target="theme/theme1.xml"/><Relationship Id="rId3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E9928-AAB7-48BB-86F5-7C45D12F5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Application>AlterOffice/3.4.0.9$Linux_X86_64 LibreOffice_project/b8daf9e823b1a5463a2f48435ddc2e8696e7d4fc</Application>
  <AppVersion>15.0000</AppVersion>
  <Pages>27</Pages>
  <Words>6353</Words>
  <Characters>44975</Characters>
  <CharactersWithSpaces>52398</CharactersWithSpaces>
  <Paragraphs>718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2025-02-26T05:12:00Z</dcterms:created>
  <dc:creator>Торопов Денис Владимирович</dc:creator>
  <dc:description/>
  <dc:language>ru-RU</dc:language>
  <cp:lastModifiedBy>tsaregorodtsev_av</cp:lastModifiedBy>
  <cp:lastPrinted>2021-07-09T09:18:00Z</cp:lastPrinted>
  <dcterms:modified xsi:type="dcterms:W3CDTF">2025-03-20T10:11:00Z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